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5D" w:rsidRPr="0068315D" w:rsidRDefault="0068315D" w:rsidP="0068315D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8315D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Регулирование координации в стрельбе (ГТО)</w:t>
      </w:r>
    </w:p>
    <w:p w:rsidR="00BE11CD" w:rsidRDefault="00BE11CD"/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Предложена экспериментальная программа дополнительного обучения с элементами внедрения упражнений на координацию с целью повышения эффективности подготовки к испытаниям комплекса ВФСК ГТО. Исследованы показатели функционального состояния (сердечная деятельность), физической подг</w:t>
      </w:r>
      <w:bookmarkStart w:id="0" w:name="_GoBack"/>
      <w:bookmarkEnd w:id="0"/>
      <w:r w:rsidRPr="0068315D">
        <w:rPr>
          <w:color w:val="000000"/>
        </w:rPr>
        <w:t>отовленности (координационные способности), коэффициент соревновательной эффективности по рейтингу показателей качества стрельбы ГТО, положительная динамика которых подтверждает эффективность программы.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Ключевые слова: студентки, университет, стрельба ГТО, координационные упражнения, успешность.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В университетах принимаются активные усилия в повышении стабильности участия студентов в выполнении норм Всероссийского физкультурно-спортивного комплекса «Готов к труду и обороне» (ГТО). Большинство понимает важность и своевременность возрождения комплекса [2, 4]. Показатель массовости участия за прошлый год в университете среди студентов прибавил 12,4 %. Объем выполненных упражнений норм ГТО на 1-й, 2-й и 3-й уровни трудности 6-й ступени в университетах за последний год составил до 67,7 % от общего количества участия. Диапазон по отдельным видам выполненных норм составляет </w:t>
      </w:r>
      <w:proofErr w:type="gramStart"/>
      <w:r w:rsidRPr="0068315D">
        <w:rPr>
          <w:color w:val="000000"/>
        </w:rPr>
        <w:t>от</w:t>
      </w:r>
      <w:proofErr w:type="gramEnd"/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9,3 до 78,6 %. Различия в успешности выполнения отдельных упражнений ГТО предельно </w:t>
      </w:r>
      <w:proofErr w:type="spellStart"/>
      <w:r w:rsidRPr="0068315D">
        <w:rPr>
          <w:color w:val="000000"/>
        </w:rPr>
        <w:t>полярны</w:t>
      </w:r>
      <w:proofErr w:type="spellEnd"/>
      <w:r w:rsidRPr="0068315D">
        <w:rPr>
          <w:color w:val="000000"/>
        </w:rPr>
        <w:t>. Например, в стрельбе всего выполнили нормы ГТО в 1-й попытке 15,8 % мужчин и 9,2 % женщин. На фоне быстрых темпов восстановления объемов массового участия необходимо привести в соответствие продуктивность и в стрельбе.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Очень важными индексами являются: желание участвовать в испытаниях по стрельбе ГТО и наличие материальной базы. Анкетирование респондентов, не принявших участие в испытаниях по стрельбе, показало, что значительная часть женского пола не имеет представления о данном виде (68,7 %). Именно этот фактор повлиял на отказ от участия. Ряд непосредственно наблюдаемых сопутствующих условий (активность студентов, их ответственность, оказание взаимопомощи и др.) указывают на то, что рост успехов в прошедшем году мог быть выше.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Необходимо совершенствовать продуктивные двигательные навыки стрелков с помощью традиционных упражнений и возможностью использовать специальные стрелковые тренажёры [1, 6]. Стрельба диктует требования не только к уровню состояния практической подготовленности, но и к уменьшению эмоциональных скачков, а также способствует повышению собранности и координации действий. Поэтому сердечная деятельность в соревновательный период, особенно в стрельбе, играет важную роль. В массовых мероприятиях создание искусственной управляемой среды с помощью тренажёров не всегда представляется доступным. В итоге ухудшается результат стрельбы.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Выдвинуто предположение, что успешность в стрельбе у женщин, можно улучшить за счёт развития координационных способностей. Испытания по комплексу ГТО показали хорошую подготовленность студенток, прошедших спортивную подготовку по различным видам спорта. Но, как только указанная категория приступала к практике по стрельбе, эффективность резко снижалась [5]. У остальных конкурсантов положение со стрельбой было ещё хуже. Предложенная координационная программа позволит повысить результаты студенток в выполнении нормативов комплекса ГТО. Планирование дополнительных занятий проводилось с учётом индивидуальных особенностей. Развёрнутая ведомость учёта ошибок на соревнованиях стала основным документом для внесения коррективов. В основу содержания программы привлечены те упражнения, </w:t>
      </w:r>
      <w:r w:rsidRPr="0068315D">
        <w:rPr>
          <w:color w:val="000000"/>
        </w:rPr>
        <w:lastRenderedPageBreak/>
        <w:t>применение которых позволило масштабировать результат. Масштабирование представляет собой отношение значительного увеличения производительности системы к приращенному объёму потреблённых ресурсов [3].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В 2018 г. представлена экспериментальная программа дополнительного обучения с элементами внедрения упражнений </w:t>
      </w:r>
      <w:proofErr w:type="gramStart"/>
      <w:r w:rsidRPr="0068315D">
        <w:rPr>
          <w:color w:val="000000"/>
        </w:rPr>
        <w:t>на</w:t>
      </w:r>
      <w:proofErr w:type="gramEnd"/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координацию. В содержание краткосрочных курсов по стрельбе ГТО сроком обучения в один месяц (8 занятий) были внесены коррективы для женщин. Участники стимулировались традиционными средствами (ценные подарки, значки, медали, грамоты). </w:t>
      </w:r>
      <w:proofErr w:type="gramStart"/>
      <w:r w:rsidRPr="0068315D">
        <w:rPr>
          <w:color w:val="000000"/>
        </w:rPr>
        <w:t>Укомплектованы контрольная (КГ) и экспериментальная (ЭГ) группы студентками по 33-35 чел.: КГ - 8 занятий (месяц) по традиционной схеме; ЭГ - 8 занятий (месяц) по координационной программе.</w:t>
      </w:r>
      <w:proofErr w:type="gramEnd"/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В ЭГ на тренировках применялись координационные упражнения в объёме 10 мин из традиционных средств, но в определённой последовательности и дозировке, исходя из стоящих задач в освоении прикладных навыков в стрельбе. У всех групп, участвующих в выполнении норм ГТО, по завершению курса освоения платформы обучения на соревнованиях фиксировались следующие показатели: функциональное состояние (сердечная деятельность), физическая подготовленность (координационные способности), непосредственно продуктивность стрельбы ГТО. В состав определения функционального состояния включены: частота сердечных сокращений (ЧСС), вариационный размах (ВР), амплитуда моды сердечного ритма (</w:t>
      </w:r>
      <w:proofErr w:type="spellStart"/>
      <w:r w:rsidRPr="0068315D">
        <w:rPr>
          <w:color w:val="000000"/>
        </w:rPr>
        <w:t>АМо</w:t>
      </w:r>
      <w:proofErr w:type="spellEnd"/>
      <w:r w:rsidRPr="0068315D">
        <w:rPr>
          <w:color w:val="000000"/>
        </w:rPr>
        <w:t xml:space="preserve">), индекс напряжения (ИН), индекс </w:t>
      </w:r>
      <w:proofErr w:type="spellStart"/>
      <w:r w:rsidRPr="0068315D">
        <w:rPr>
          <w:color w:val="000000"/>
        </w:rPr>
        <w:t>Руфье</w:t>
      </w:r>
      <w:proofErr w:type="spellEnd"/>
      <w:r w:rsidRPr="0068315D">
        <w:rPr>
          <w:color w:val="000000"/>
        </w:rPr>
        <w:t xml:space="preserve"> (ИР). Для определения физической подготовленности (координации) были использованы такие показатели, как проба </w:t>
      </w:r>
      <w:proofErr w:type="spellStart"/>
      <w:r w:rsidRPr="0068315D">
        <w:rPr>
          <w:color w:val="000000"/>
        </w:rPr>
        <w:t>Ромберга</w:t>
      </w:r>
      <w:proofErr w:type="spellEnd"/>
      <w:r w:rsidRPr="0068315D">
        <w:rPr>
          <w:color w:val="000000"/>
        </w:rPr>
        <w:t xml:space="preserve"> (</w:t>
      </w:r>
      <w:proofErr w:type="gramStart"/>
      <w:r w:rsidRPr="0068315D">
        <w:rPr>
          <w:color w:val="000000"/>
        </w:rPr>
        <w:t>ПР</w:t>
      </w:r>
      <w:proofErr w:type="gramEnd"/>
      <w:r w:rsidRPr="0068315D">
        <w:rPr>
          <w:color w:val="000000"/>
        </w:rPr>
        <w:t xml:space="preserve">), </w:t>
      </w:r>
      <w:proofErr w:type="spellStart"/>
      <w:r w:rsidRPr="0068315D">
        <w:rPr>
          <w:color w:val="000000"/>
        </w:rPr>
        <w:t>теппинг</w:t>
      </w:r>
      <w:proofErr w:type="spellEnd"/>
      <w:r w:rsidRPr="0068315D">
        <w:rPr>
          <w:color w:val="000000"/>
        </w:rPr>
        <w:t>-тест (ТТ), кинестетическая чувствительность (КЧ). Коэффициент соревновательной эффективности определялся по рейтингу показателей качества стрельбы ГТО.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Физическая подготовленность определялась по тестам.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Проба </w:t>
      </w:r>
      <w:proofErr w:type="spellStart"/>
      <w:r w:rsidRPr="0068315D">
        <w:rPr>
          <w:color w:val="000000"/>
        </w:rPr>
        <w:t>Ромберга</w:t>
      </w:r>
      <w:proofErr w:type="spellEnd"/>
      <w:r w:rsidRPr="0068315D">
        <w:rPr>
          <w:color w:val="000000"/>
        </w:rPr>
        <w:t>: стойка в четырёх положениях частей тела (на двух и на одной ноге с подниманием второй ноги). Руки вытянуть и поднять вперёд, глаза прикрыть. После принятия нужного положения уменьшается площадь опоры. Колебания рук и тела в любом направлении запрещены. Если испытуемый сможет зафиксировать все стойки 15 си более, то оценивается результат на «удовлетворительно».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spellStart"/>
      <w:r w:rsidRPr="0068315D">
        <w:rPr>
          <w:color w:val="000000"/>
        </w:rPr>
        <w:t>Теппинг</w:t>
      </w:r>
      <w:proofErr w:type="spellEnd"/>
      <w:r w:rsidRPr="0068315D">
        <w:rPr>
          <w:color w:val="000000"/>
        </w:rPr>
        <w:t xml:space="preserve">-тест позволяет определить частоту движений кисти. Испытуемый в максимальном для себя ритме карандашом ставит точки на одном листе бумаги в нарисованном квадрате. Тест выполняется раздельно в четырёх квадратах по 10 с </w:t>
      </w:r>
      <w:proofErr w:type="spellStart"/>
      <w:proofErr w:type="gramStart"/>
      <w:r w:rsidRPr="0068315D">
        <w:rPr>
          <w:color w:val="000000"/>
        </w:rPr>
        <w:t>с</w:t>
      </w:r>
      <w:proofErr w:type="spellEnd"/>
      <w:proofErr w:type="gramEnd"/>
      <w:r w:rsidRPr="0068315D">
        <w:rPr>
          <w:color w:val="000000"/>
        </w:rPr>
        <w:t xml:space="preserve"> отдыхом по 10 с. Устойчивость двигательных движений можно определить либо при увеличении, либо при уменьшении количества обозначенных точек.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Кинестетическая чувствительность измерена с использованием кистевого динамометра. Прибор сжимается 3-5 раз в 50 % от своих максимальных силовых возможностей под контролем зрения, а после отдыха 3-5 раз в 50 % от максимального без контроля зрения. Нормальной величиной определена разница менее 20 %.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Работа функциональных систем была исследована до и после проведения краткосрочных курсов. В ЭГ наблюдался небольшой рост ЧСС, ИР, </w:t>
      </w:r>
      <w:proofErr w:type="spellStart"/>
      <w:r w:rsidRPr="0068315D">
        <w:rPr>
          <w:color w:val="000000"/>
        </w:rPr>
        <w:t>АМо</w:t>
      </w:r>
      <w:proofErr w:type="spellEnd"/>
      <w:r w:rsidRPr="0068315D">
        <w:rPr>
          <w:color w:val="000000"/>
        </w:rPr>
        <w:t>, ИН при снижении ВР, то есть широты распределения (табл. 1). В ЭГ после окончания выполнения отдельных элементов упражнения в стрельбе выявлено достаточно быстрое восстановление ВР и ЧСС.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Таблица 1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Динамика показателей функциональной и физической подготовленности студенток в процессе эксперимента (</w:t>
      </w:r>
      <w:proofErr w:type="spellStart"/>
      <w:r w:rsidRPr="0068315D">
        <w:rPr>
          <w:color w:val="000000"/>
        </w:rPr>
        <w:t>М±т</w:t>
      </w:r>
      <w:proofErr w:type="spellEnd"/>
      <w:r w:rsidRPr="0068315D">
        <w:rPr>
          <w:color w:val="000000"/>
        </w:rPr>
        <w:t>)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lastRenderedPageBreak/>
        <w:t xml:space="preserve">Показатели / пробы </w:t>
      </w:r>
      <w:proofErr w:type="gramStart"/>
      <w:r w:rsidRPr="0068315D">
        <w:rPr>
          <w:color w:val="000000"/>
        </w:rPr>
        <w:t>КГ</w:t>
      </w:r>
      <w:proofErr w:type="gramEnd"/>
      <w:r w:rsidRPr="0068315D">
        <w:rPr>
          <w:color w:val="000000"/>
        </w:rPr>
        <w:t xml:space="preserve"> ЭГ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Начало Конец Начало Конец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Функциональная подготовленность (</w:t>
      </w:r>
      <w:proofErr w:type="gramStart"/>
      <w:r w:rsidRPr="0068315D">
        <w:rPr>
          <w:color w:val="000000"/>
        </w:rPr>
        <w:t>сердечно-сосудистая</w:t>
      </w:r>
      <w:proofErr w:type="gramEnd"/>
      <w:r w:rsidRPr="0068315D">
        <w:rPr>
          <w:color w:val="000000"/>
        </w:rPr>
        <w:t xml:space="preserve"> система)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ЧСС, уд/мин 129±8,7 96±5,7 125±7,5 90±4,3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ВР, с 0,03±0,008 0,06±0,009 0,04±0,007 0,08±0,011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spellStart"/>
      <w:r w:rsidRPr="0068315D">
        <w:rPr>
          <w:color w:val="000000"/>
        </w:rPr>
        <w:t>АМо</w:t>
      </w:r>
      <w:proofErr w:type="spellEnd"/>
      <w:r w:rsidRPr="0068315D">
        <w:rPr>
          <w:color w:val="000000"/>
        </w:rPr>
        <w:t>, % 83±4,1 52±3,8 81±3,9 65±3,7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ИН, ед. 4820±384 900±260 4450±430 530±35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ИР, ед. 12,2±2,19 9,5±1,39 11,6±1,80 8,4±1,01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Физическая подготовленность (координация)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gramStart"/>
      <w:r w:rsidRPr="0068315D">
        <w:rPr>
          <w:color w:val="000000"/>
        </w:rPr>
        <w:t>ПР</w:t>
      </w:r>
      <w:proofErr w:type="gramEnd"/>
      <w:r w:rsidRPr="0068315D">
        <w:rPr>
          <w:color w:val="000000"/>
        </w:rPr>
        <w:t>, с 9±0,7 20±1,5 10±0,8 16±1,8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gramStart"/>
      <w:r w:rsidRPr="0068315D">
        <w:rPr>
          <w:color w:val="000000"/>
        </w:rPr>
        <w:t>ТТ</w:t>
      </w:r>
      <w:proofErr w:type="gramEnd"/>
      <w:r w:rsidRPr="0068315D">
        <w:rPr>
          <w:color w:val="000000"/>
        </w:rPr>
        <w:t>, кол-во 58±3,2 72±5,9 61±4,8 81±6,7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КЧ, % 24±3,6 17±1.4 32±2,9 14±2,5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Примечание: ЧСС - частота сердечных сокращений; ВР - вариационный размах;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spellStart"/>
      <w:r w:rsidRPr="0068315D">
        <w:rPr>
          <w:color w:val="000000"/>
        </w:rPr>
        <w:t>АМ</w:t>
      </w:r>
      <w:proofErr w:type="gramStart"/>
      <w:r w:rsidRPr="0068315D">
        <w:rPr>
          <w:color w:val="000000"/>
        </w:rPr>
        <w:t>о</w:t>
      </w:r>
      <w:proofErr w:type="spellEnd"/>
      <w:r w:rsidRPr="0068315D">
        <w:rPr>
          <w:color w:val="000000"/>
        </w:rPr>
        <w:t>-</w:t>
      </w:r>
      <w:proofErr w:type="gramEnd"/>
      <w:r w:rsidRPr="0068315D">
        <w:rPr>
          <w:color w:val="000000"/>
        </w:rPr>
        <w:t xml:space="preserve"> амплитуда моды сердечного ритма; ИН - индекс напряжения;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ИР - индекс </w:t>
      </w:r>
      <w:proofErr w:type="spellStart"/>
      <w:r w:rsidRPr="0068315D">
        <w:rPr>
          <w:color w:val="000000"/>
        </w:rPr>
        <w:t>Руфье</w:t>
      </w:r>
      <w:proofErr w:type="spellEnd"/>
      <w:r w:rsidRPr="0068315D">
        <w:rPr>
          <w:color w:val="000000"/>
        </w:rPr>
        <w:t xml:space="preserve">; </w:t>
      </w:r>
      <w:proofErr w:type="gramStart"/>
      <w:r w:rsidRPr="0068315D">
        <w:rPr>
          <w:color w:val="000000"/>
        </w:rPr>
        <w:t>ПР</w:t>
      </w:r>
      <w:proofErr w:type="gramEnd"/>
      <w:r w:rsidRPr="0068315D">
        <w:rPr>
          <w:color w:val="000000"/>
        </w:rPr>
        <w:t xml:space="preserve"> - проба </w:t>
      </w:r>
      <w:proofErr w:type="spellStart"/>
      <w:r w:rsidRPr="0068315D">
        <w:rPr>
          <w:color w:val="000000"/>
        </w:rPr>
        <w:t>Ромберга</w:t>
      </w:r>
      <w:proofErr w:type="spellEnd"/>
      <w:r w:rsidRPr="0068315D">
        <w:rPr>
          <w:color w:val="000000"/>
        </w:rPr>
        <w:t xml:space="preserve">; ТТ - </w:t>
      </w:r>
      <w:proofErr w:type="spellStart"/>
      <w:r w:rsidRPr="0068315D">
        <w:rPr>
          <w:color w:val="000000"/>
        </w:rPr>
        <w:t>теппинг</w:t>
      </w:r>
      <w:proofErr w:type="spellEnd"/>
      <w:r w:rsidRPr="0068315D">
        <w:rPr>
          <w:color w:val="000000"/>
        </w:rPr>
        <w:t>-тест;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К</w:t>
      </w:r>
      <w:proofErr w:type="gramStart"/>
      <w:r w:rsidRPr="0068315D">
        <w:rPr>
          <w:color w:val="000000"/>
        </w:rPr>
        <w:t>Ч-</w:t>
      </w:r>
      <w:proofErr w:type="gramEnd"/>
      <w:r w:rsidRPr="0068315D">
        <w:rPr>
          <w:color w:val="000000"/>
        </w:rPr>
        <w:t xml:space="preserve"> кинестетическая чувствительность.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proofErr w:type="gramStart"/>
      <w:r w:rsidRPr="0068315D">
        <w:rPr>
          <w:color w:val="000000"/>
        </w:rPr>
        <w:t>В КГ изменился прирост в ИН в большую сторону.</w:t>
      </w:r>
      <w:proofErr w:type="gramEnd"/>
      <w:r w:rsidRPr="0068315D">
        <w:rPr>
          <w:color w:val="000000"/>
        </w:rPr>
        <w:t xml:space="preserve"> Изменчивость симпатоадреналовой системы у </w:t>
      </w:r>
      <w:proofErr w:type="gramStart"/>
      <w:r w:rsidRPr="0068315D">
        <w:rPr>
          <w:color w:val="000000"/>
        </w:rPr>
        <w:t>КГ</w:t>
      </w:r>
      <w:proofErr w:type="gramEnd"/>
      <w:r w:rsidRPr="0068315D">
        <w:rPr>
          <w:color w:val="000000"/>
        </w:rPr>
        <w:t xml:space="preserve"> повысилась. Повышенные индексы в </w:t>
      </w:r>
      <w:proofErr w:type="spellStart"/>
      <w:r w:rsidRPr="0068315D">
        <w:rPr>
          <w:color w:val="000000"/>
        </w:rPr>
        <w:t>АМо</w:t>
      </w:r>
      <w:proofErr w:type="spellEnd"/>
      <w:r w:rsidRPr="0068315D">
        <w:rPr>
          <w:color w:val="000000"/>
        </w:rPr>
        <w:t xml:space="preserve">, ЧСС и ИН отмечены у всех участников </w:t>
      </w:r>
      <w:proofErr w:type="gramStart"/>
      <w:r w:rsidRPr="0068315D">
        <w:rPr>
          <w:color w:val="000000"/>
        </w:rPr>
        <w:t>КГ</w:t>
      </w:r>
      <w:proofErr w:type="gramEnd"/>
      <w:r w:rsidRPr="0068315D">
        <w:rPr>
          <w:color w:val="000000"/>
        </w:rPr>
        <w:t xml:space="preserve">, но в КГ и ЭГ не было отмечено перенапряжения. В последствии функциональные системы у </w:t>
      </w:r>
      <w:proofErr w:type="gramStart"/>
      <w:r w:rsidRPr="0068315D">
        <w:rPr>
          <w:color w:val="000000"/>
        </w:rPr>
        <w:t>КГ</w:t>
      </w:r>
      <w:proofErr w:type="gramEnd"/>
      <w:r w:rsidRPr="0068315D">
        <w:rPr>
          <w:color w:val="000000"/>
        </w:rPr>
        <w:t xml:space="preserve"> и ЭГ выровнялись. Это говорит об успешной адаптации участников, но в разной степени. В ЭГ приспосабливаемость проходит быстрее и надёжнее.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В ЭГ физическая подготовка была направлена на развитие координационных способностей студенток. Достигнуты конкретные результаты по улучшению способностей на координацию в ЭГ и имеют значимые различия по отношению к </w:t>
      </w:r>
      <w:proofErr w:type="gramStart"/>
      <w:r w:rsidRPr="0068315D">
        <w:rPr>
          <w:color w:val="000000"/>
        </w:rPr>
        <w:t>КГ</w:t>
      </w:r>
      <w:proofErr w:type="gramEnd"/>
      <w:r w:rsidRPr="0068315D">
        <w:rPr>
          <w:color w:val="000000"/>
        </w:rPr>
        <w:t xml:space="preserve"> ^&lt;0,05) (см. табл. 1). Основными критериями оценки улучшения координации и сердечной деятельности станет конечный продукт успешности стрельбы ГТО.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Завершающий результат в ЭГ по выполнению прикладных испытаний вырос до 63,6 % и приблизился к желаемому среднему показателю объёма выполнения остальных норм ГТО (67,7 %) (табл. 2). Студентки </w:t>
      </w:r>
      <w:proofErr w:type="gramStart"/>
      <w:r w:rsidRPr="0068315D">
        <w:rPr>
          <w:color w:val="000000"/>
        </w:rPr>
        <w:t>КГ</w:t>
      </w:r>
      <w:proofErr w:type="gramEnd"/>
      <w:r w:rsidRPr="0068315D">
        <w:rPr>
          <w:color w:val="000000"/>
        </w:rPr>
        <w:t xml:space="preserve"> достигли так же успехов, но в меньшей степени (48,3 %).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Таблица 2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Прикладная подготовленность в стрельбе ГТО (женщины)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 xml:space="preserve">Группа Период </w:t>
      </w:r>
      <w:proofErr w:type="spellStart"/>
      <w:r w:rsidRPr="0068315D">
        <w:rPr>
          <w:color w:val="000000"/>
        </w:rPr>
        <w:t>экспер</w:t>
      </w:r>
      <w:proofErr w:type="spellEnd"/>
      <w:r w:rsidRPr="0068315D">
        <w:rPr>
          <w:color w:val="000000"/>
        </w:rPr>
        <w:t>. м, очки ±m P</w:t>
      </w:r>
      <w:proofErr w:type="gramStart"/>
      <w:r w:rsidRPr="0068315D">
        <w:rPr>
          <w:color w:val="000000"/>
        </w:rPr>
        <w:t xml:space="preserve"> Б</w:t>
      </w:r>
      <w:proofErr w:type="gramEnd"/>
      <w:r w:rsidRPr="0068315D">
        <w:rPr>
          <w:color w:val="000000"/>
        </w:rPr>
        <w:t xml:space="preserve"> </w:t>
      </w:r>
      <w:proofErr w:type="spellStart"/>
      <w:r w:rsidRPr="0068315D">
        <w:rPr>
          <w:color w:val="000000"/>
        </w:rPr>
        <w:t>Ех</w:t>
      </w:r>
      <w:proofErr w:type="spellEnd"/>
      <w:r w:rsidRPr="0068315D">
        <w:rPr>
          <w:color w:val="000000"/>
        </w:rPr>
        <w:t xml:space="preserve"> АБ V, % ГТО, %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КГ</w:t>
      </w:r>
      <w:proofErr w:type="gramStart"/>
      <w:r w:rsidRPr="0068315D">
        <w:rPr>
          <w:color w:val="000000"/>
        </w:rPr>
        <w:t xml:space="preserve"> Д</w:t>
      </w:r>
      <w:proofErr w:type="gramEnd"/>
      <w:r w:rsidRPr="0068315D">
        <w:rPr>
          <w:color w:val="000000"/>
        </w:rPr>
        <w:t>о 8,3 0,69 &lt;0,05 3,95 0,10 0,76 47,8 10,2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После 12,9 0,74 4,25 -1,34 -0,1 32,9 48,3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ЭГ</w:t>
      </w:r>
      <w:proofErr w:type="gramStart"/>
      <w:r w:rsidRPr="0068315D">
        <w:rPr>
          <w:color w:val="000000"/>
        </w:rPr>
        <w:t xml:space="preserve"> Д</w:t>
      </w:r>
      <w:proofErr w:type="gramEnd"/>
      <w:r w:rsidRPr="0068315D">
        <w:rPr>
          <w:color w:val="000000"/>
        </w:rPr>
        <w:t>о 9,7 0,78 &lt;0,05 3,83 -0,58 0,13 39,5 12,1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После 16,3 0,76 4,36 0,37 0,69 26,7 63,6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lastRenderedPageBreak/>
        <w:t xml:space="preserve">В </w:t>
      </w:r>
      <w:proofErr w:type="gramStart"/>
      <w:r w:rsidRPr="0068315D">
        <w:rPr>
          <w:color w:val="000000"/>
        </w:rPr>
        <w:t>КГ</w:t>
      </w:r>
      <w:proofErr w:type="gramEnd"/>
      <w:r w:rsidRPr="0068315D">
        <w:rPr>
          <w:color w:val="000000"/>
        </w:rPr>
        <w:t xml:space="preserve"> показатели эксцесса (</w:t>
      </w:r>
      <w:proofErr w:type="spellStart"/>
      <w:r w:rsidRPr="0068315D">
        <w:rPr>
          <w:color w:val="000000"/>
        </w:rPr>
        <w:t>Ех</w:t>
      </w:r>
      <w:proofErr w:type="spellEnd"/>
      <w:r w:rsidRPr="0068315D">
        <w:rPr>
          <w:color w:val="000000"/>
        </w:rPr>
        <w:t xml:space="preserve">) после проведения обучения резко уменьшились, распределение стало более плоским и скачки результатов выровнялись, стали более плавные. В </w:t>
      </w:r>
      <w:proofErr w:type="gramStart"/>
      <w:r w:rsidRPr="0068315D">
        <w:rPr>
          <w:color w:val="000000"/>
        </w:rPr>
        <w:t>КГ</w:t>
      </w:r>
      <w:proofErr w:type="gramEnd"/>
      <w:r w:rsidRPr="0068315D">
        <w:rPr>
          <w:color w:val="000000"/>
        </w:rPr>
        <w:t xml:space="preserve"> средние значения набранных очков в стрельбе по мишени составили 12,9±0,74 очков. В ЭГ колебания близки к нормальному среднему распределению, при средней величине набранных 16,3±0,76 очков, это на 3,4 очка больше (</w:t>
      </w:r>
      <w:proofErr w:type="gramStart"/>
      <w:r w:rsidRPr="0068315D">
        <w:rPr>
          <w:color w:val="000000"/>
        </w:rPr>
        <w:t>Р</w:t>
      </w:r>
      <w:proofErr w:type="gramEnd"/>
      <w:r w:rsidRPr="0068315D">
        <w:rPr>
          <w:color w:val="000000"/>
        </w:rPr>
        <w:t>&lt;0,05). В ЭГ асимметрия (</w:t>
      </w:r>
      <w:proofErr w:type="spellStart"/>
      <w:r w:rsidRPr="0068315D">
        <w:rPr>
          <w:color w:val="000000"/>
        </w:rPr>
        <w:t>А</w:t>
      </w:r>
      <w:proofErr w:type="gramStart"/>
      <w:r w:rsidRPr="0068315D">
        <w:rPr>
          <w:color w:val="000000"/>
        </w:rPr>
        <w:t>s</w:t>
      </w:r>
      <w:proofErr w:type="spellEnd"/>
      <w:proofErr w:type="gramEnd"/>
      <w:r w:rsidRPr="0068315D">
        <w:rPr>
          <w:color w:val="000000"/>
        </w:rPr>
        <w:t xml:space="preserve">) стала выше коэффициента 0,25, что считается значительным, то есть </w:t>
      </w:r>
      <w:proofErr w:type="spellStart"/>
      <w:r w:rsidRPr="0068315D">
        <w:rPr>
          <w:color w:val="000000"/>
        </w:rPr>
        <w:t>скошенность</w:t>
      </w:r>
      <w:proofErr w:type="spellEnd"/>
      <w:r w:rsidRPr="0068315D">
        <w:rPr>
          <w:color w:val="000000"/>
        </w:rPr>
        <w:t xml:space="preserve"> направлена в сторону повышения результатов. Коэффициент вариации (V) указывает на снижение колебаний изменчивости результатов прикладных умений в К</w:t>
      </w:r>
      <w:proofErr w:type="gramStart"/>
      <w:r w:rsidRPr="0068315D">
        <w:rPr>
          <w:color w:val="000000"/>
        </w:rPr>
        <w:t>Г-</w:t>
      </w:r>
      <w:proofErr w:type="gramEnd"/>
      <w:r w:rsidRPr="0068315D">
        <w:rPr>
          <w:color w:val="000000"/>
        </w:rPr>
        <w:t xml:space="preserve"> на 14,9 % и в ЭГ - на 11,2%. Более важными являются различия в проценте выполнения норм в стрельбе ГТО: ЭГ в конце эксперимента прибавила 51,5 %, в КГ - 38,1 %. ЭГ в стрельбе показала прирост на 13,4% (</w:t>
      </w:r>
      <w:proofErr w:type="gramStart"/>
      <w:r w:rsidRPr="0068315D">
        <w:rPr>
          <w:color w:val="000000"/>
        </w:rPr>
        <w:t>Р</w:t>
      </w:r>
      <w:proofErr w:type="gramEnd"/>
      <w:r w:rsidRPr="0068315D">
        <w:rPr>
          <w:color w:val="000000"/>
        </w:rPr>
        <w:t>&lt;0,05) выше, чем в КГ.</w:t>
      </w:r>
    </w:p>
    <w:p w:rsidR="0068315D" w:rsidRPr="0068315D" w:rsidRDefault="0068315D" w:rsidP="0068315D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68315D">
        <w:rPr>
          <w:color w:val="000000"/>
        </w:rPr>
        <w:t>Таким образом, включение в содержание программы обучения координационных упражнений способствовало повышению продуктивности в подготовке к испытаниям по стрельбе ГТО. Прикладная физическая подготовленность в экспериментальной группе подтверждена реальными успехами. Достигнутые положительные сдвиги в функциональной (сердечной деятельности) и физической подготовленности (координации) стали стабилизирующим фактором на соревнованиях по стрельбе. Улучшение координации движений позитивно влияет на уровень дальнейшего развития психофизических и психологических качеств.</w:t>
      </w:r>
    </w:p>
    <w:p w:rsidR="0068315D" w:rsidRDefault="0068315D"/>
    <w:sectPr w:rsidR="0068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CD"/>
    <w:rsid w:val="0068315D"/>
    <w:rsid w:val="00BE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3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3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1518</Words>
  <Characters>8658</Characters>
  <Application>Microsoft Office Word</Application>
  <DocSecurity>0</DocSecurity>
  <Lines>72</Lines>
  <Paragraphs>20</Paragraphs>
  <ScaleCrop>false</ScaleCrop>
  <Company/>
  <LinksUpToDate>false</LinksUpToDate>
  <CharactersWithSpaces>10156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3</cp:revision>
  <dcterms:created xsi:type="dcterms:W3CDTF">2022-10-12T09:36:00Z</dcterms:created>
  <dcterms:modified xsi:type="dcterms:W3CDTF">2022-10-12T09:37:00Z</dcterms:modified>
</cp:coreProperties>
</file>